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управу </w:t>
      </w:r>
      <w:r w:rsidRPr="007D29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07 Број</w:t>
      </w:r>
      <w:r w:rsidR="00A5226F" w:rsidRPr="007D29E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>02-2067/15-1</w:t>
      </w:r>
    </w:p>
    <w:p w:rsidR="008B04AC" w:rsidRPr="007D29EF" w:rsidRDefault="009C76E0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20. септембар 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D2426" w:rsidRPr="007D29E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4AC" w:rsidRPr="007D29EF" w:rsidRDefault="008B04AC" w:rsidP="008B04AC">
      <w:pPr>
        <w:rPr>
          <w:rFonts w:ascii="Times New Roman" w:hAnsi="Times New Roman" w:cs="Times New Roman"/>
          <w:sz w:val="24"/>
          <w:szCs w:val="24"/>
        </w:rPr>
      </w:pPr>
    </w:p>
    <w:p w:rsidR="001727ED" w:rsidRPr="007D29EF" w:rsidRDefault="008B04AC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1727ED" w:rsidRPr="007D29EF" w:rsidRDefault="001727ED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27ED" w:rsidRPr="007D29EF" w:rsidRDefault="001727ED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8B04AC" w:rsidP="00172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и локалну самоуправу је, на </w:t>
      </w:r>
      <w:r w:rsidR="000F7D13" w:rsidRPr="007D29EF">
        <w:rPr>
          <w:rFonts w:ascii="Times New Roman" w:hAnsi="Times New Roman" w:cs="Times New Roman"/>
          <w:sz w:val="24"/>
          <w:szCs w:val="24"/>
          <w:lang w:val="sr-Cyrl-RS"/>
        </w:rPr>
        <w:t>Трећој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D29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>септемб</w:t>
      </w:r>
      <w:r w:rsidR="005D2426" w:rsidRPr="007D29E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D2426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године, размотрио предлог за избор члана Одбора Агенције за борбу против корупције</w:t>
      </w:r>
      <w:r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заједно поднели 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>Удружење новинара Србије</w:t>
      </w:r>
      <w:r w:rsidR="005D2426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>Независно удружење новинара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(број 02-2067/15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>-1, од 8. августа 2016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101E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>године).</w:t>
      </w:r>
    </w:p>
    <w:p w:rsidR="001727ED" w:rsidRPr="007D29EF" w:rsidRDefault="001727ED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 основу члана 51. Пословника Народне скупштине, Одбор за правосуђе, државну управу и локалну самоуправу подноси</w:t>
      </w:r>
    </w:p>
    <w:p w:rsidR="008B04AC" w:rsidRPr="007D29EF" w:rsidRDefault="008B04AC" w:rsidP="008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8B04AC" w:rsidP="008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6E75A7" w:rsidRPr="007D29EF" w:rsidRDefault="006E75A7" w:rsidP="008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AB0759" w:rsidP="006E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>за правосуђе</w:t>
      </w:r>
      <w:r w:rsidR="00CB6790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и локалну самоуправу констатовао је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да су</w:t>
      </w:r>
      <w:r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>Удружење новинара Србије (УНС) и Независно удружење новинара (НУНС), који су предложили Живојина Ракочевића за члана Одбора Агенције за борбу против корупције, поднели  предлог за избор члана тог одбора у складу са чланом 9. став 2. тачка 9) Закона о Агенцији за борбу против корупције.</w:t>
      </w:r>
      <w:r w:rsidR="008B04AC" w:rsidRPr="007D29E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8B04AC" w:rsidRPr="007D29EF" w:rsidRDefault="00F010AB" w:rsidP="00A4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Одбор предлаже 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>да Народна скупштина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578C" w:rsidRPr="007D29EF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 w:rsidR="00AB0759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редлог 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за избор члана 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>размотри што пре,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на то да </w:t>
      </w:r>
      <w:r w:rsidR="00D55F0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>претходно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м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>члану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Агенције за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>борбу против корупције, изабрано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м на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заједнички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>удружења новинара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449" w:rsidRPr="007D29EF">
        <w:rPr>
          <w:rFonts w:ascii="Times New Roman" w:hAnsi="Times New Roman" w:cs="Times New Roman"/>
          <w:sz w:val="24"/>
          <w:szCs w:val="24"/>
          <w:lang w:val="sr-Cyrl-CS"/>
        </w:rPr>
        <w:t>функција престала</w:t>
      </w:r>
      <w:r w:rsidR="00D55F0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18. марта 2013. </w:t>
      </w:r>
      <w:r w:rsidR="00F344F0" w:rsidRPr="007D29E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одине. Избором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>овог</w:t>
      </w:r>
      <w:r w:rsidR="00F344F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а Одбора </w:t>
      </w:r>
      <w:r w:rsidR="00F344F0" w:rsidRPr="007D29EF">
        <w:rPr>
          <w:rFonts w:ascii="Times New Roman" w:hAnsi="Times New Roman" w:cs="Times New Roman"/>
          <w:sz w:val="24"/>
          <w:szCs w:val="24"/>
          <w:lang w:val="sr-Cyrl-CS"/>
        </w:rPr>
        <w:t>омогућиће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рад Одбора Агенције за борбу против корупције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и са 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>чланом кога предлажу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удружења новинара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путем заједничког договора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у складу са </w:t>
      </w:r>
      <w:r w:rsidR="001727ED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наведеном одредбом 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члана 9. </w:t>
      </w:r>
      <w:r w:rsidR="001727ED" w:rsidRPr="007D29EF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27ED" w:rsidRPr="007D29EF" w:rsidRDefault="001727ED" w:rsidP="00A4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8B04AC" w:rsidRPr="007D29EF" w:rsidRDefault="008B04AC" w:rsidP="00A4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27ED" w:rsidRPr="007D29EF" w:rsidRDefault="001727ED" w:rsidP="00A4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ПРЕДСЕДНИК</w:t>
      </w: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54F4" w:rsidRPr="007D29EF" w:rsidRDefault="008B04AC" w:rsidP="00FE6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Петар Петровић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7D29EF">
        <w:rPr>
          <w:rFonts w:ascii="Times New Roman" w:hAnsi="Times New Roman" w:cs="Times New Roman"/>
          <w:sz w:val="24"/>
          <w:szCs w:val="24"/>
        </w:rPr>
        <w:t xml:space="preserve">,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D29EF">
        <w:rPr>
          <w:rFonts w:ascii="Times New Roman" w:hAnsi="Times New Roman" w:cs="Times New Roman"/>
          <w:sz w:val="24"/>
          <w:szCs w:val="24"/>
        </w:rPr>
        <w:t>7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Број: 02-</w:t>
      </w:r>
      <w:r w:rsidRPr="007D29EF">
        <w:rPr>
          <w:rFonts w:ascii="Times New Roman" w:hAnsi="Times New Roman" w:cs="Times New Roman"/>
          <w:sz w:val="24"/>
          <w:szCs w:val="24"/>
        </w:rPr>
        <w:t>2054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7D29EF">
        <w:rPr>
          <w:rFonts w:ascii="Times New Roman" w:hAnsi="Times New Roman" w:cs="Times New Roman"/>
          <w:sz w:val="24"/>
          <w:szCs w:val="24"/>
        </w:rPr>
        <w:t>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D29EF">
        <w:rPr>
          <w:rFonts w:ascii="Times New Roman" w:hAnsi="Times New Roman" w:cs="Times New Roman"/>
          <w:sz w:val="24"/>
          <w:szCs w:val="24"/>
        </w:rPr>
        <w:t>0</w:t>
      </w:r>
      <w:r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септембар 201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A760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управу и локалну самоуправу, на Трећој седници  одржаној 20. септембра 2016. године, разматрао је Извештај о раду јавних тужилаштава на сузбијању криминалитета и заштити уставности и законитости у 2015. 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одини</w:t>
      </w:r>
      <w:r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(број: 02-2054/16, од 15. септембра 2016. године).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Седници Одбора присуствовa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ли су Зорица Стојшић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, заменица Републичког јавног тужиоца и Бранко Стаменковић, Посебни тужилац за високотехнолошки криминал.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D29EF" w:rsidRPr="007D29EF" w:rsidRDefault="007D29EF" w:rsidP="00BC50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 основу члана 237. став 4. Пословника Народне</w:t>
      </w:r>
      <w:r w:rsidRPr="007D29E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Одбор за правосуђе</w:t>
      </w:r>
      <w:r w:rsidRPr="007D29EF">
        <w:rPr>
          <w:rFonts w:ascii="Times New Roman" w:hAnsi="Times New Roman" w:cs="Times New Roman"/>
          <w:sz w:val="24"/>
          <w:szCs w:val="24"/>
        </w:rPr>
        <w:t xml:space="preserve">,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подноси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D29EF" w:rsidRPr="007D29EF" w:rsidRDefault="007D29EF" w:rsidP="00BC50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7D29EF" w:rsidRPr="007D29EF" w:rsidRDefault="007D29EF" w:rsidP="001A3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Одбор је констатовао да је Републички јавни тужилац у Извештају</w:t>
      </w:r>
      <w:r w:rsidRPr="007D29EF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 раду јавних тужилаштава на сузбијању криминалитета и заштити уставности и законитости у 2015. години целовито представио активности јавних тужилаштава, које произлазе из Уставом и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законом утврђеног положаја тужилаштва као самосталног органа који гони починиоце кривичних и других кажњивих дела и предузима мере заштите уставности и законитости.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7D29EF" w:rsidRPr="007D29EF" w:rsidRDefault="007D29EF" w:rsidP="00BC50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7D29EF">
      <w:pPr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D29EF" w:rsidRPr="007D29EF" w:rsidRDefault="007D29EF" w:rsidP="007D29E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07 Број: 02-524/16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27. </w:t>
      </w:r>
      <w:proofErr w:type="gramStart"/>
      <w:r w:rsidRPr="007D29EF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proofErr w:type="gramEnd"/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Одбор за правосуђе, државну управу и локалну самоуправу</w:t>
      </w:r>
      <w:r w:rsidRPr="007D29EF">
        <w:rPr>
          <w:rFonts w:ascii="Times New Roman" w:hAnsi="Times New Roman" w:cs="Times New Roman"/>
          <w:sz w:val="24"/>
          <w:szCs w:val="24"/>
        </w:rPr>
        <w:t xml:space="preserve"> 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, на Трећој седници одржаној 20. септембра 2016. године, разматрао Извештај о раду Државног већа тужилаца за 2015. годину (број: 02-524/16, од 1. марта 2016. године).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7D29EF" w:rsidP="00E205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Седници Одбор</w:t>
      </w:r>
      <w:r w:rsidRPr="007D29EF">
        <w:rPr>
          <w:rFonts w:ascii="Times New Roman" w:hAnsi="Times New Roman" w:cs="Times New Roman"/>
          <w:sz w:val="24"/>
          <w:szCs w:val="24"/>
        </w:rPr>
        <w:t xml:space="preserve">a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присуствовале су Татјана Лагумџија и Сандра Кулезић, изборни чланови Државног већа тужилаца.</w:t>
      </w:r>
    </w:p>
    <w:p w:rsidR="007D29EF" w:rsidRPr="007D29EF" w:rsidRDefault="007D29EF" w:rsidP="00E205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На основу члана 237. став 4. Пословника Народне скупштине, Одбор за правосуђе</w:t>
      </w:r>
      <w:r w:rsidRPr="007D29EF">
        <w:rPr>
          <w:rFonts w:ascii="Times New Roman" w:hAnsi="Times New Roman" w:cs="Times New Roman"/>
          <w:sz w:val="24"/>
          <w:szCs w:val="24"/>
        </w:rPr>
        <w:t xml:space="preserve">,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подноси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D29EF" w:rsidRPr="007D29EF" w:rsidRDefault="007D29EF" w:rsidP="00B027D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Одбор за правосуђе, државну управу и локалну самоуправу размотрио је Извештај о раду Државног већа тужилаца за 201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 годину, који је Народној скупштини поднет на основу члана 19. став 1. Закона о Државном већу тужилаца.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Одбор је констатовао да је Државно веће тужилаца у Извештају о раду за 2015.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9E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Одбор је указао на потребу да Државно веће тужилаца убудуће у годишњим извештајима о раду посебним одељком прикаже активности на реализацији одредбе члана 82. став 5. Закона о јавном тужилаштву којом је прописано да се, п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ри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предлагању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за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тужилаца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тужилаца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води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националном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одговарајућој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заступљености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припадника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познавању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терминологије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на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кој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је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027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7D29EF">
      <w:pPr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D29EF" w:rsidRPr="007D29EF" w:rsidRDefault="007D29EF" w:rsidP="007D29E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07 Број: 119-1997/16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proofErr w:type="gramStart"/>
      <w:r w:rsidRPr="007D29EF">
        <w:rPr>
          <w:rFonts w:ascii="Times New Roman" w:hAnsi="Times New Roman" w:cs="Times New Roman"/>
          <w:sz w:val="24"/>
          <w:szCs w:val="24"/>
          <w:lang w:val="sr-Cyrl-CS"/>
        </w:rPr>
        <w:t>септембар  2016</w:t>
      </w:r>
      <w:proofErr w:type="gramEnd"/>
      <w:r w:rsidRPr="007D29E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D29EF" w:rsidRPr="007D29EF" w:rsidRDefault="007D29EF" w:rsidP="004A589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29EF" w:rsidRPr="007D29EF" w:rsidRDefault="007D29EF" w:rsidP="004A589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29EF" w:rsidRPr="007D29EF" w:rsidRDefault="007D29EF" w:rsidP="004A58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29EF" w:rsidRPr="007D29EF" w:rsidRDefault="007D29EF" w:rsidP="004A58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НАРОДНА СКУПШТИНА РЕПУБЛИКЕ СРБИЈЕ</w:t>
      </w: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Одбор за првосуђе, државну управу и локалну самоуправу, на Трећој седници одржаној 20. септембра 2016. године, разматрао је Предлог одлуке о избору заменика јавног тужиоца, који је поднело Државно веће тужилаца (број </w:t>
      </w:r>
      <w:r w:rsidRPr="007D29EF">
        <w:rPr>
          <w:rFonts w:ascii="Times New Roman" w:hAnsi="Times New Roman" w:cs="Times New Roman"/>
          <w:sz w:val="24"/>
          <w:szCs w:val="24"/>
        </w:rPr>
        <w:t>119-1997/16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, од 9. септембра 2016. године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7D29EF" w:rsidRPr="007D29EF" w:rsidRDefault="007D29EF" w:rsidP="006671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Седници су, као представници Државног већа тужилаца, присуствовале Татјана Лагумџија и Сандра Кулезић, изборни чланови Државног већа тужилаца.</w:t>
      </w: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На основу чл. 51. и 201. Пословника Народне скупштине, Одбор подноси</w:t>
      </w: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84488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D29EF" w:rsidRPr="007D29EF" w:rsidRDefault="007D29EF" w:rsidP="004A58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Одбор за правосуђе</w:t>
      </w:r>
      <w:r w:rsidRPr="007D29EF">
        <w:rPr>
          <w:rFonts w:ascii="Times New Roman" w:hAnsi="Times New Roman" w:cs="Times New Roman"/>
          <w:sz w:val="24"/>
          <w:szCs w:val="24"/>
        </w:rPr>
        <w:t xml:space="preserve">,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констатовао је да је Предлог одлуке о избору заменика јавног тужиоца поднело Државно веће тужилаца као овлашћени предлагач, у складу са чланом 75. став 1. Закона о</w:t>
      </w:r>
      <w:r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јавном тужилаштву и чланом 13. алинеја друга Закона о Државном већу тужилаца.</w:t>
      </w:r>
    </w:p>
    <w:p w:rsidR="007D29EF" w:rsidRPr="007D29EF" w:rsidRDefault="007D29EF" w:rsidP="003F3A4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Одбор је одлучио да предложи Народној скупштини да, на основу члана 159. став 5. Устава РС („Службени гласник РС“, бр. 98/06), члана 75. став 1. Закона о јавном тужилаштву („Службени гласник РС“, бр. </w:t>
      </w:r>
      <w:hyperlink r:id="rId5" w:tooltip="Zakon o javnom tužilaštvu (22/12/2008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6" w:tooltip="Zakon o izmenama i dopunama Zakona o javnom tužilaštvu (16/12/2009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7" w:tooltip="Zakon o izmenama i dopunama Zakona o javnom tužilaštvu (29/12/2010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izmenama i dopunama Zakona o budžetu Republike Srbije za 2011. godinu (19/10/2011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78/11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>-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 др. закон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dopuni Zakona o javnom tužilaštvu (30/12/2011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101/11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0" w:tooltip="Odluka Ustavnog suda Broj IUz-1633/2010 (odnosi se na Zakon o izmenama i dopunama Zakona o javnom tužilaštvu) (25/04/2012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38/12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dopuni Zakona o javnom tužilaštvu (24/12/2012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2" w:tooltip="Zakon o izmenama i dopunama Zakona o javnom tužilaštvu (20/11/2013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izmeni Zakona o platama državnih službenika i nameštenika (06/12/2013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>др. закон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4" w:tooltip="Odluka Ustavnog suda IUz-428/2013 (odnosi se na Zakon o javnom tužilaštvu) (15/10/2014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ama Zakona o javnom tužilaštvu (29/10/2014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6" w:tooltip="Zakon o dopunama Zakona o javnom tužilaštvu (21/12/2015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hyperlink r:id="rId17" w:tooltip="Odluka Ustavnog suda IUz-80/2014  (odnosi se na Zakon o javnom tužilaštvu) (15/07/2016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>)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201. Пословника Народне скупштине („Службени гласник 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РС“, бр. 20/12 – Пречишћени текст),  прихвати Предлог одлуке о избору заменика јавног тужиоца.</w:t>
      </w:r>
    </w:p>
    <w:p w:rsidR="007D29EF" w:rsidRPr="007D29EF" w:rsidRDefault="007D29EF" w:rsidP="003F3A4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4A58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7D29E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D29EF" w:rsidRPr="007D29EF" w:rsidRDefault="007D29EF" w:rsidP="007D29EF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7D29EF" w:rsidRPr="007D2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AC"/>
    <w:rsid w:val="000F7D13"/>
    <w:rsid w:val="00143A06"/>
    <w:rsid w:val="001727ED"/>
    <w:rsid w:val="00222E1E"/>
    <w:rsid w:val="0031012E"/>
    <w:rsid w:val="003E101E"/>
    <w:rsid w:val="004A578C"/>
    <w:rsid w:val="005706F1"/>
    <w:rsid w:val="005B00CF"/>
    <w:rsid w:val="005D2426"/>
    <w:rsid w:val="006A5562"/>
    <w:rsid w:val="006E75A7"/>
    <w:rsid w:val="007853CB"/>
    <w:rsid w:val="00797A31"/>
    <w:rsid w:val="007D29EF"/>
    <w:rsid w:val="007F30CA"/>
    <w:rsid w:val="00832F1D"/>
    <w:rsid w:val="008B04AC"/>
    <w:rsid w:val="008C6592"/>
    <w:rsid w:val="008E54F4"/>
    <w:rsid w:val="00993881"/>
    <w:rsid w:val="009C546E"/>
    <w:rsid w:val="009C76E0"/>
    <w:rsid w:val="00A47EF9"/>
    <w:rsid w:val="00A5226F"/>
    <w:rsid w:val="00AB0759"/>
    <w:rsid w:val="00B92790"/>
    <w:rsid w:val="00C44A63"/>
    <w:rsid w:val="00CB6790"/>
    <w:rsid w:val="00D55F0C"/>
    <w:rsid w:val="00D81449"/>
    <w:rsid w:val="00F010AB"/>
    <w:rsid w:val="00F344F0"/>
    <w:rsid w:val="00F90173"/>
    <w:rsid w:val="00FD6CF7"/>
    <w:rsid w:val="00FE6B8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93881"/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  <w:style w:type="character" w:customStyle="1" w:styleId="trs">
    <w:name w:val="trs"/>
    <w:basedOn w:val="DefaultParagraphFont"/>
    <w:rsid w:val="00993881"/>
  </w:style>
  <w:style w:type="character" w:customStyle="1" w:styleId="propisclassinner">
    <w:name w:val="propisclassinner"/>
    <w:basedOn w:val="DefaultParagraphFont"/>
    <w:rsid w:val="007D2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93881"/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  <w:style w:type="character" w:customStyle="1" w:styleId="trs">
    <w:name w:val="trs"/>
    <w:basedOn w:val="DefaultParagraphFont"/>
    <w:rsid w:val="00993881"/>
  </w:style>
  <w:style w:type="character" w:customStyle="1" w:styleId="propisclassinner">
    <w:name w:val="propisclassinner"/>
    <w:basedOn w:val="DefaultParagraphFont"/>
    <w:rsid w:val="007D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2016-09-15T08:09:00Z</cp:lastPrinted>
  <dcterms:created xsi:type="dcterms:W3CDTF">2016-12-02T13:17:00Z</dcterms:created>
  <dcterms:modified xsi:type="dcterms:W3CDTF">2016-12-02T13:17:00Z</dcterms:modified>
</cp:coreProperties>
</file>